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0F3B82">
      <w:pPr>
        <w:pStyle w:val="a6"/>
        <w:jc w:val="center"/>
      </w:pPr>
      <w:r w:rsidRPr="00B9451D">
        <w:t>ОБҐРУНТУВАННЯ</w:t>
      </w:r>
    </w:p>
    <w:p w14:paraId="3EEBB0F5" w14:textId="212037DD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9557E2">
        <w:rPr>
          <w:b/>
          <w:bCs/>
          <w:lang w:val="uk-UA"/>
        </w:rPr>
        <w:t>шкільні меблі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i/>
          <w:iCs/>
          <w:sz w:val="24"/>
          <w:szCs w:val="24"/>
        </w:rPr>
        <w:t>Найменування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місцезнаходження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ідентифікаційний</w:t>
      </w:r>
      <w:proofErr w:type="spellEnd"/>
      <w:r w:rsidRPr="004C4127">
        <w:rPr>
          <w:i/>
          <w:iCs/>
          <w:sz w:val="24"/>
          <w:szCs w:val="24"/>
        </w:rPr>
        <w:t xml:space="preserve"> код </w:t>
      </w:r>
      <w:proofErr w:type="spellStart"/>
      <w:r w:rsidRPr="004C4127">
        <w:rPr>
          <w:i/>
          <w:iCs/>
          <w:sz w:val="24"/>
          <w:szCs w:val="24"/>
        </w:rPr>
        <w:t>замовника</w:t>
      </w:r>
      <w:proofErr w:type="spellEnd"/>
      <w:r w:rsidRPr="004C4127">
        <w:rPr>
          <w:i/>
          <w:iCs/>
          <w:sz w:val="24"/>
          <w:szCs w:val="24"/>
        </w:rPr>
        <w:t xml:space="preserve"> в </w:t>
      </w:r>
      <w:proofErr w:type="spellStart"/>
      <w:r w:rsidRPr="004C4127">
        <w:rPr>
          <w:i/>
          <w:iCs/>
          <w:sz w:val="24"/>
          <w:szCs w:val="24"/>
        </w:rPr>
        <w:t>Єдиному</w:t>
      </w:r>
      <w:proofErr w:type="spellEnd"/>
      <w:r w:rsidRPr="004C4127">
        <w:rPr>
          <w:i/>
          <w:iCs/>
          <w:sz w:val="24"/>
          <w:szCs w:val="24"/>
        </w:rPr>
        <w:t xml:space="preserve"> державному </w:t>
      </w:r>
      <w:proofErr w:type="spellStart"/>
      <w:r w:rsidRPr="004C4127">
        <w:rPr>
          <w:i/>
          <w:iCs/>
          <w:sz w:val="24"/>
          <w:szCs w:val="24"/>
        </w:rPr>
        <w:t>реє</w:t>
      </w:r>
      <w:proofErr w:type="gramStart"/>
      <w:r w:rsidRPr="004C4127">
        <w:rPr>
          <w:i/>
          <w:iCs/>
          <w:sz w:val="24"/>
          <w:szCs w:val="24"/>
        </w:rPr>
        <w:t>стр</w:t>
      </w:r>
      <w:proofErr w:type="gramEnd"/>
      <w:r w:rsidRPr="004C4127">
        <w:rPr>
          <w:i/>
          <w:iCs/>
          <w:sz w:val="24"/>
          <w:szCs w:val="24"/>
        </w:rPr>
        <w:t>і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юридичних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фізичних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 — </w:t>
      </w:r>
      <w:proofErr w:type="spellStart"/>
      <w:r w:rsidRPr="004C4127">
        <w:rPr>
          <w:i/>
          <w:iCs/>
          <w:sz w:val="24"/>
          <w:szCs w:val="24"/>
        </w:rPr>
        <w:t>підприємців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громадських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формувань</w:t>
      </w:r>
      <w:proofErr w:type="spellEnd"/>
      <w:r w:rsidRPr="004C4127">
        <w:rPr>
          <w:i/>
          <w:iCs/>
          <w:sz w:val="24"/>
          <w:szCs w:val="24"/>
        </w:rPr>
        <w:t>: </w:t>
      </w:r>
      <w:proofErr w:type="spellStart"/>
      <w:r w:rsidRPr="004C4127">
        <w:rPr>
          <w:b/>
          <w:bCs/>
          <w:i/>
          <w:iCs/>
          <w:sz w:val="24"/>
          <w:szCs w:val="24"/>
        </w:rPr>
        <w:t>Відділ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освіти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міської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області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вул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4C4127">
        <w:rPr>
          <w:b/>
          <w:bCs/>
          <w:i/>
          <w:iCs/>
          <w:sz w:val="24"/>
          <w:szCs w:val="24"/>
        </w:rPr>
        <w:t xml:space="preserve">, м.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Сумська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область, 42000</w:t>
      </w:r>
      <w:r w:rsidRPr="004C4127">
        <w:rPr>
          <w:i/>
          <w:iCs/>
          <w:sz w:val="24"/>
          <w:szCs w:val="24"/>
        </w:rPr>
        <w:t>, </w:t>
      </w:r>
      <w:r w:rsidRPr="004C4127">
        <w:rPr>
          <w:b/>
          <w:bCs/>
          <w:i/>
          <w:iCs/>
          <w:sz w:val="24"/>
          <w:szCs w:val="24"/>
        </w:rPr>
        <w:t xml:space="preserve">ЄДРПОУ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35157487</w:t>
      </w:r>
      <w:r w:rsidRPr="004C412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Категорія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замовника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згідно</w:t>
      </w:r>
      <w:proofErr w:type="spellEnd"/>
      <w:r w:rsidRPr="004C4127">
        <w:rPr>
          <w:sz w:val="24"/>
          <w:szCs w:val="24"/>
        </w:rPr>
        <w:t xml:space="preserve"> ст. 2 закону </w:t>
      </w:r>
      <w:proofErr w:type="spellStart"/>
      <w:r w:rsidRPr="004C4127">
        <w:rPr>
          <w:sz w:val="24"/>
          <w:szCs w:val="24"/>
        </w:rPr>
        <w:t>України</w:t>
      </w:r>
      <w:proofErr w:type="spellEnd"/>
      <w:r w:rsidRPr="004C4127">
        <w:rPr>
          <w:sz w:val="24"/>
          <w:szCs w:val="24"/>
        </w:rPr>
        <w:t xml:space="preserve"> “Про </w:t>
      </w:r>
      <w:proofErr w:type="spellStart"/>
      <w:r w:rsidRPr="004C4127">
        <w:rPr>
          <w:sz w:val="24"/>
          <w:szCs w:val="24"/>
        </w:rPr>
        <w:t>публічні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>” – </w:t>
      </w:r>
      <w:proofErr w:type="spellStart"/>
      <w:r w:rsidRPr="004C4127">
        <w:rPr>
          <w:b/>
          <w:bCs/>
          <w:sz w:val="24"/>
          <w:szCs w:val="24"/>
        </w:rPr>
        <w:t>юридичні</w:t>
      </w:r>
      <w:proofErr w:type="spellEnd"/>
      <w:r w:rsidRPr="004C4127">
        <w:rPr>
          <w:b/>
          <w:bCs/>
          <w:sz w:val="24"/>
          <w:szCs w:val="24"/>
        </w:rPr>
        <w:t xml:space="preserve"> особи, </w:t>
      </w:r>
      <w:proofErr w:type="spellStart"/>
      <w:r w:rsidRPr="004C4127">
        <w:rPr>
          <w:b/>
          <w:bCs/>
          <w:sz w:val="24"/>
          <w:szCs w:val="24"/>
        </w:rPr>
        <w:t>які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забезпечують</w:t>
      </w:r>
      <w:proofErr w:type="spellEnd"/>
      <w:r w:rsidRPr="004C4127">
        <w:rPr>
          <w:b/>
          <w:bCs/>
          <w:sz w:val="24"/>
          <w:szCs w:val="24"/>
        </w:rPr>
        <w:t xml:space="preserve"> потреби </w:t>
      </w:r>
      <w:proofErr w:type="spellStart"/>
      <w:r w:rsidRPr="004C4127">
        <w:rPr>
          <w:b/>
          <w:bCs/>
          <w:sz w:val="24"/>
          <w:szCs w:val="24"/>
        </w:rPr>
        <w:t>держави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або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територіальної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громади</w:t>
      </w:r>
      <w:proofErr w:type="spellEnd"/>
      <w:r w:rsidRPr="004C4127">
        <w:rPr>
          <w:b/>
          <w:bCs/>
          <w:sz w:val="24"/>
          <w:szCs w:val="24"/>
        </w:rPr>
        <w:t>.</w:t>
      </w:r>
    </w:p>
    <w:p w14:paraId="7CD12F7C" w14:textId="5398FD02" w:rsidR="004C4127" w:rsidRPr="009557E2" w:rsidRDefault="00B9451D" w:rsidP="004C4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8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4C4127">
        <w:rPr>
          <w:sz w:val="24"/>
          <w:szCs w:val="24"/>
        </w:rPr>
        <w:t>Назва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із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зазначенням</w:t>
      </w:r>
      <w:proofErr w:type="spellEnd"/>
      <w:r w:rsidRPr="004C4127">
        <w:rPr>
          <w:sz w:val="24"/>
          <w:szCs w:val="24"/>
        </w:rPr>
        <w:t xml:space="preserve"> коду за </w:t>
      </w:r>
      <w:proofErr w:type="spellStart"/>
      <w:r w:rsidRPr="004C4127">
        <w:rPr>
          <w:sz w:val="24"/>
          <w:szCs w:val="24"/>
        </w:rPr>
        <w:t>Єдиним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закупівельним</w:t>
      </w:r>
      <w:proofErr w:type="spellEnd"/>
      <w:r w:rsidRPr="004C4127">
        <w:rPr>
          <w:sz w:val="24"/>
          <w:szCs w:val="24"/>
        </w:rPr>
        <w:t xml:space="preserve"> словником (у </w:t>
      </w:r>
      <w:proofErr w:type="spellStart"/>
      <w:r w:rsidRPr="004C4127">
        <w:rPr>
          <w:sz w:val="24"/>
          <w:szCs w:val="24"/>
        </w:rPr>
        <w:t>разі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поділу</w:t>
      </w:r>
      <w:proofErr w:type="spellEnd"/>
      <w:r w:rsidRPr="004C4127">
        <w:rPr>
          <w:sz w:val="24"/>
          <w:szCs w:val="24"/>
        </w:rPr>
        <w:t xml:space="preserve"> на </w:t>
      </w:r>
      <w:proofErr w:type="spellStart"/>
      <w:r w:rsidRPr="004C4127">
        <w:rPr>
          <w:sz w:val="24"/>
          <w:szCs w:val="24"/>
        </w:rPr>
        <w:t>лоти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такі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відомості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повинні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зазначатися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стосовно</w:t>
      </w:r>
      <w:proofErr w:type="spellEnd"/>
      <w:r w:rsidRPr="004C4127">
        <w:rPr>
          <w:sz w:val="24"/>
          <w:szCs w:val="24"/>
        </w:rPr>
        <w:t xml:space="preserve"> кожного лота) та </w:t>
      </w:r>
      <w:proofErr w:type="spellStart"/>
      <w:r w:rsidRPr="004C4127">
        <w:rPr>
          <w:sz w:val="24"/>
          <w:szCs w:val="24"/>
        </w:rPr>
        <w:t>назви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відповідних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класифікаторів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й </w:t>
      </w:r>
      <w:proofErr w:type="spellStart"/>
      <w:r w:rsidRPr="004C4127">
        <w:rPr>
          <w:sz w:val="24"/>
          <w:szCs w:val="24"/>
        </w:rPr>
        <w:t>частин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(</w:t>
      </w:r>
      <w:proofErr w:type="spellStart"/>
      <w:r w:rsidRPr="004C4127">
        <w:rPr>
          <w:sz w:val="24"/>
          <w:szCs w:val="24"/>
        </w:rPr>
        <w:t>лотів</w:t>
      </w:r>
      <w:proofErr w:type="spellEnd"/>
      <w:r w:rsidRPr="004C4127">
        <w:rPr>
          <w:sz w:val="24"/>
          <w:szCs w:val="24"/>
        </w:rPr>
        <w:t xml:space="preserve">) (за </w:t>
      </w:r>
      <w:proofErr w:type="spellStart"/>
      <w:r w:rsidRPr="004C4127">
        <w:rPr>
          <w:sz w:val="24"/>
          <w:szCs w:val="24"/>
        </w:rPr>
        <w:t>наявності</w:t>
      </w:r>
      <w:proofErr w:type="spellEnd"/>
      <w:r w:rsidRPr="004C4127">
        <w:rPr>
          <w:sz w:val="24"/>
          <w:szCs w:val="24"/>
        </w:rPr>
        <w:t>): 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ДК 021:2015: </w:t>
      </w:r>
      <w:r w:rsidR="00EF064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9557E2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3916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0000-</w:t>
      </w:r>
      <w:r w:rsidR="00EF064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  <w:r w:rsidR="009557E2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Шкільні меблі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C4127" w:rsidRPr="009557E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9557E2" w:rsidRPr="009557E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Столи учнівські, </w:t>
      </w:r>
      <w:proofErr w:type="gramStart"/>
      <w:r w:rsidR="009557E2" w:rsidRPr="009557E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ст</w:t>
      </w:r>
      <w:proofErr w:type="gramEnd"/>
      <w:r w:rsidR="009557E2" w:rsidRPr="009557E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ільці учнівські</w:t>
      </w:r>
      <w:r w:rsidR="004C4127" w:rsidRPr="009557E2">
        <w:rPr>
          <w:rFonts w:eastAsia="Times New Roman" w:cs="Times New Roman"/>
          <w:bCs/>
          <w:snapToGrid w:val="0"/>
          <w:sz w:val="24"/>
          <w:szCs w:val="24"/>
        </w:rPr>
        <w:t>)</w:t>
      </w:r>
      <w:r w:rsidR="004C4127" w:rsidRPr="009557E2">
        <w:rPr>
          <w:rFonts w:eastAsia="Times New Roman"/>
          <w:sz w:val="24"/>
          <w:szCs w:val="24"/>
        </w:rPr>
        <w:t xml:space="preserve"> </w:t>
      </w:r>
      <w:r w:rsidR="004C4127" w:rsidRPr="009557E2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99FFB82" w14:textId="14CC1891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</w:p>
    <w:p w14:paraId="59806771" w14:textId="0FE78124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4C4127">
        <w:rPr>
          <w:sz w:val="24"/>
          <w:szCs w:val="24"/>
        </w:rPr>
        <w:t xml:space="preserve">Вид та </w:t>
      </w:r>
      <w:proofErr w:type="spellStart"/>
      <w:r w:rsidRPr="004C4127">
        <w:rPr>
          <w:sz w:val="24"/>
          <w:szCs w:val="24"/>
        </w:rPr>
        <w:t>ідентифікатор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процедури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>:</w:t>
      </w:r>
      <w:r w:rsidRPr="004C4127">
        <w:rPr>
          <w:sz w:val="24"/>
          <w:szCs w:val="24"/>
        </w:rPr>
        <w:t> </w:t>
      </w:r>
      <w:proofErr w:type="spellStart"/>
      <w:r w:rsidRPr="004C4127">
        <w:rPr>
          <w:b/>
          <w:bCs/>
          <w:sz w:val="24"/>
          <w:szCs w:val="24"/>
        </w:rPr>
        <w:t>Відкриті</w:t>
      </w:r>
      <w:proofErr w:type="spellEnd"/>
      <w:r w:rsidRPr="004C4127">
        <w:rPr>
          <w:b/>
          <w:bCs/>
          <w:sz w:val="24"/>
          <w:szCs w:val="24"/>
        </w:rPr>
        <w:t xml:space="preserve"> торги</w:t>
      </w:r>
      <w:r w:rsidR="003B262E" w:rsidRPr="004C4127">
        <w:rPr>
          <w:b/>
          <w:bCs/>
          <w:sz w:val="24"/>
          <w:szCs w:val="24"/>
        </w:rPr>
        <w:t xml:space="preserve"> </w:t>
      </w:r>
      <w:r w:rsidR="003B262E" w:rsidRPr="004C4127">
        <w:rPr>
          <w:b/>
          <w:bCs/>
          <w:sz w:val="24"/>
          <w:szCs w:val="24"/>
          <w:lang w:val="uk-UA"/>
        </w:rPr>
        <w:t>з особливостями</w:t>
      </w:r>
      <w:r w:rsidRPr="004C4127">
        <w:rPr>
          <w:sz w:val="24"/>
          <w:szCs w:val="24"/>
        </w:rPr>
        <w:t>, за № у ЦБД </w:t>
      </w:r>
      <w:r w:rsidR="003B262E" w:rsidRPr="004C4127">
        <w:rPr>
          <w:b/>
          <w:bCs/>
          <w:sz w:val="24"/>
          <w:szCs w:val="24"/>
        </w:rPr>
        <w:t>UA-2023-0</w:t>
      </w:r>
      <w:r w:rsidR="00E17122">
        <w:rPr>
          <w:b/>
          <w:bCs/>
          <w:sz w:val="24"/>
          <w:szCs w:val="24"/>
          <w:lang w:val="uk-UA"/>
        </w:rPr>
        <w:t>7</w:t>
      </w:r>
      <w:r w:rsidR="003B262E" w:rsidRPr="004C4127">
        <w:rPr>
          <w:b/>
          <w:bCs/>
          <w:sz w:val="24"/>
          <w:szCs w:val="24"/>
        </w:rPr>
        <w:t>-</w:t>
      </w:r>
      <w:r w:rsidR="004C4127">
        <w:rPr>
          <w:b/>
          <w:bCs/>
          <w:sz w:val="24"/>
          <w:szCs w:val="24"/>
          <w:lang w:val="uk-UA"/>
        </w:rPr>
        <w:t>2</w:t>
      </w:r>
      <w:r w:rsidR="00E17122">
        <w:rPr>
          <w:b/>
          <w:bCs/>
          <w:sz w:val="24"/>
          <w:szCs w:val="24"/>
          <w:lang w:val="uk-UA"/>
        </w:rPr>
        <w:t>8</w:t>
      </w:r>
      <w:r w:rsidR="003B262E" w:rsidRPr="004C4127">
        <w:rPr>
          <w:b/>
          <w:bCs/>
          <w:sz w:val="24"/>
          <w:szCs w:val="24"/>
        </w:rPr>
        <w:t>-0</w:t>
      </w:r>
      <w:r w:rsidR="00E17122">
        <w:rPr>
          <w:b/>
          <w:bCs/>
          <w:sz w:val="24"/>
          <w:szCs w:val="24"/>
          <w:lang w:val="uk-UA"/>
        </w:rPr>
        <w:t>02</w:t>
      </w:r>
      <w:r w:rsidR="00FE6222">
        <w:rPr>
          <w:b/>
          <w:bCs/>
          <w:sz w:val="24"/>
          <w:szCs w:val="24"/>
          <w:lang w:val="uk-UA"/>
        </w:rPr>
        <w:t>0</w:t>
      </w:r>
      <w:r w:rsidR="00E17122">
        <w:rPr>
          <w:b/>
          <w:bCs/>
          <w:sz w:val="24"/>
          <w:szCs w:val="24"/>
          <w:lang w:val="uk-UA"/>
        </w:rPr>
        <w:t>36</w:t>
      </w:r>
      <w:r w:rsidR="003B262E" w:rsidRPr="004C4127">
        <w:rPr>
          <w:b/>
          <w:bCs/>
          <w:sz w:val="24"/>
          <w:szCs w:val="24"/>
        </w:rPr>
        <w:t>-a</w:t>
      </w:r>
    </w:p>
    <w:p w14:paraId="2E0D4340" w14:textId="35D2FD58" w:rsidR="00B9451D" w:rsidRPr="00220796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4C4127">
        <w:rPr>
          <w:b/>
          <w:bCs/>
          <w:sz w:val="24"/>
          <w:szCs w:val="24"/>
        </w:rPr>
        <w:t>Очікувана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вартість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закупі</w:t>
      </w:r>
      <w:proofErr w:type="gramStart"/>
      <w:r w:rsidRPr="004C4127">
        <w:rPr>
          <w:b/>
          <w:bCs/>
          <w:sz w:val="24"/>
          <w:szCs w:val="24"/>
        </w:rPr>
        <w:t>вл</w:t>
      </w:r>
      <w:proofErr w:type="gramEnd"/>
      <w:r w:rsidRPr="004C4127">
        <w:rPr>
          <w:b/>
          <w:bCs/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бюджетне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призначення</w:t>
      </w:r>
      <w:proofErr w:type="spellEnd"/>
      <w:r w:rsidRPr="004C4127">
        <w:rPr>
          <w:b/>
          <w:bCs/>
          <w:sz w:val="24"/>
          <w:szCs w:val="24"/>
        </w:rPr>
        <w:t>:</w:t>
      </w:r>
      <w:r w:rsidR="00D01BD8">
        <w:rPr>
          <w:b/>
          <w:bCs/>
          <w:sz w:val="24"/>
          <w:szCs w:val="24"/>
          <w:lang w:val="uk-UA"/>
        </w:rPr>
        <w:t xml:space="preserve"> </w:t>
      </w:r>
      <w:r w:rsidR="00D01BD8" w:rsidRPr="00D01BD8">
        <w:rPr>
          <w:bCs/>
          <w:sz w:val="24"/>
          <w:szCs w:val="24"/>
          <w:lang w:val="uk-UA"/>
        </w:rPr>
        <w:t>очікувана вартість</w:t>
      </w:r>
      <w:r w:rsidR="00D01BD8">
        <w:rPr>
          <w:bCs/>
          <w:sz w:val="24"/>
          <w:szCs w:val="24"/>
          <w:lang w:val="uk-UA"/>
        </w:rPr>
        <w:t xml:space="preserve"> складає</w:t>
      </w:r>
      <w:r w:rsidRPr="004C4127">
        <w:rPr>
          <w:b/>
          <w:bCs/>
          <w:sz w:val="24"/>
          <w:szCs w:val="24"/>
        </w:rPr>
        <w:t xml:space="preserve"> </w:t>
      </w:r>
      <w:r w:rsidR="00E17122" w:rsidRPr="00E17122">
        <w:rPr>
          <w:bCs/>
          <w:sz w:val="24"/>
          <w:szCs w:val="24"/>
          <w:lang w:val="uk-UA"/>
        </w:rPr>
        <w:t>218</w:t>
      </w:r>
      <w:r w:rsidR="003B262E" w:rsidRPr="00220796">
        <w:rPr>
          <w:bCs/>
          <w:sz w:val="24"/>
          <w:szCs w:val="24"/>
        </w:rPr>
        <w:t xml:space="preserve"> </w:t>
      </w:r>
      <w:r w:rsidR="00E17122">
        <w:rPr>
          <w:bCs/>
          <w:sz w:val="24"/>
          <w:szCs w:val="24"/>
          <w:lang w:val="uk-UA"/>
        </w:rPr>
        <w:t>4</w:t>
      </w:r>
      <w:r w:rsidR="003B262E" w:rsidRPr="00220796">
        <w:rPr>
          <w:bCs/>
          <w:sz w:val="24"/>
          <w:szCs w:val="24"/>
        </w:rPr>
        <w:t>00,00</w:t>
      </w:r>
      <w:r w:rsidR="003B262E" w:rsidRPr="00220796">
        <w:rPr>
          <w:bCs/>
          <w:sz w:val="24"/>
          <w:szCs w:val="24"/>
          <w:lang w:val="uk-UA"/>
        </w:rPr>
        <w:t xml:space="preserve"> </w:t>
      </w:r>
      <w:r w:rsidRPr="00220796">
        <w:rPr>
          <w:bCs/>
          <w:sz w:val="24"/>
          <w:szCs w:val="24"/>
        </w:rPr>
        <w:t>грн.</w:t>
      </w:r>
      <w:r w:rsidR="00B2333A">
        <w:rPr>
          <w:bCs/>
          <w:sz w:val="24"/>
          <w:szCs w:val="24"/>
          <w:lang w:val="uk-UA"/>
        </w:rPr>
        <w:t xml:space="preserve"> (</w:t>
      </w:r>
      <w:r w:rsidR="00E17122">
        <w:rPr>
          <w:bCs/>
          <w:sz w:val="24"/>
          <w:szCs w:val="24"/>
          <w:lang w:val="uk-UA"/>
        </w:rPr>
        <w:t>двісті вісімнадцять</w:t>
      </w:r>
      <w:r w:rsidR="00B2333A">
        <w:rPr>
          <w:bCs/>
          <w:sz w:val="24"/>
          <w:szCs w:val="24"/>
          <w:lang w:val="uk-UA"/>
        </w:rPr>
        <w:t xml:space="preserve"> тисяч</w:t>
      </w:r>
      <w:r w:rsidR="00E17122">
        <w:rPr>
          <w:bCs/>
          <w:sz w:val="24"/>
          <w:szCs w:val="24"/>
          <w:lang w:val="uk-UA"/>
        </w:rPr>
        <w:t xml:space="preserve"> чотириста</w:t>
      </w:r>
      <w:r w:rsidR="00B2333A">
        <w:rPr>
          <w:bCs/>
          <w:sz w:val="24"/>
          <w:szCs w:val="24"/>
          <w:lang w:val="uk-UA"/>
        </w:rPr>
        <w:t xml:space="preserve"> гривень 00 коп.)</w:t>
      </w:r>
      <w:r w:rsidR="0012224D">
        <w:rPr>
          <w:bCs/>
          <w:sz w:val="24"/>
          <w:szCs w:val="24"/>
          <w:lang w:val="uk-UA"/>
        </w:rPr>
        <w:t>,</w:t>
      </w:r>
      <w:r w:rsidR="00D01BD8">
        <w:rPr>
          <w:bCs/>
          <w:sz w:val="24"/>
          <w:szCs w:val="24"/>
          <w:lang w:val="uk-UA"/>
        </w:rPr>
        <w:t xml:space="preserve"> - </w:t>
      </w:r>
      <w:r w:rsidR="0012224D">
        <w:rPr>
          <w:bCs/>
          <w:sz w:val="24"/>
          <w:szCs w:val="24"/>
          <w:lang w:val="uk-UA"/>
        </w:rPr>
        <w:t xml:space="preserve"> дані кошти являються</w:t>
      </w:r>
      <w:r w:rsidR="00D01BD8">
        <w:rPr>
          <w:bCs/>
          <w:sz w:val="24"/>
          <w:szCs w:val="24"/>
          <w:lang w:val="uk-UA"/>
        </w:rPr>
        <w:t xml:space="preserve"> коштами благодійного фонду</w:t>
      </w:r>
      <w:r w:rsidR="00220796" w:rsidRPr="00220796">
        <w:rPr>
          <w:bCs/>
          <w:sz w:val="24"/>
          <w:szCs w:val="24"/>
          <w:lang w:val="uk-UA"/>
        </w:rPr>
        <w:t>.</w:t>
      </w:r>
    </w:p>
    <w:p w14:paraId="448768AB" w14:textId="374B170C" w:rsidR="0012224D" w:rsidRPr="001819F7" w:rsidRDefault="00B9451D" w:rsidP="0012224D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9557E2">
        <w:rPr>
          <w:b/>
          <w:bCs/>
          <w:sz w:val="24"/>
          <w:szCs w:val="24"/>
          <w:lang w:val="uk-UA"/>
        </w:rPr>
        <w:t>Обґрунтування очікуваної вартості предмета закупівлі</w:t>
      </w:r>
      <w:r w:rsidR="0012224D">
        <w:rPr>
          <w:b/>
          <w:bCs/>
          <w:sz w:val="24"/>
          <w:szCs w:val="24"/>
          <w:lang w:val="uk-UA"/>
        </w:rPr>
        <w:t xml:space="preserve">: </w:t>
      </w:r>
      <w:r w:rsidR="0012224D">
        <w:rPr>
          <w:bCs/>
          <w:sz w:val="24"/>
          <w:szCs w:val="24"/>
          <w:lang w:val="uk-UA"/>
        </w:rPr>
        <w:t>очікувана вартість чітко визначена  в угоді про партнерство «1/2023 від 18 липня 2023 року з благодійним фондом «</w:t>
      </w:r>
      <w:proofErr w:type="spellStart"/>
      <w:r w:rsidR="0012224D">
        <w:rPr>
          <w:bCs/>
          <w:sz w:val="24"/>
          <w:szCs w:val="24"/>
          <w:lang w:val="uk-UA"/>
        </w:rPr>
        <w:t>Єнкора</w:t>
      </w:r>
      <w:proofErr w:type="spellEnd"/>
      <w:r w:rsidR="0012224D">
        <w:rPr>
          <w:bCs/>
          <w:sz w:val="24"/>
          <w:szCs w:val="24"/>
          <w:lang w:val="uk-UA"/>
        </w:rPr>
        <w:t>»</w:t>
      </w:r>
      <w:r w:rsidR="000F3B82">
        <w:rPr>
          <w:bCs/>
          <w:sz w:val="24"/>
          <w:szCs w:val="24"/>
          <w:lang w:val="uk-UA"/>
        </w:rPr>
        <w:t xml:space="preserve"> (Польща)</w:t>
      </w:r>
      <w:r w:rsidR="00D01BD8">
        <w:rPr>
          <w:bCs/>
          <w:sz w:val="24"/>
          <w:szCs w:val="24"/>
          <w:lang w:val="uk-UA"/>
        </w:rPr>
        <w:t>, а також чітко визначена кількість комплектів шкільних меблів</w:t>
      </w:r>
      <w:r w:rsidR="001819F7">
        <w:rPr>
          <w:bCs/>
          <w:sz w:val="24"/>
          <w:szCs w:val="24"/>
          <w:lang w:val="uk-UA"/>
        </w:rPr>
        <w:t xml:space="preserve"> – 60 комплектів.</w:t>
      </w:r>
    </w:p>
    <w:p w14:paraId="4DD9C8FD" w14:textId="238041BE" w:rsidR="00B9451D" w:rsidRPr="0012224D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2601989F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Враховуючи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зазначене</w:t>
      </w:r>
      <w:proofErr w:type="spellEnd"/>
      <w:r w:rsidRPr="004C4127">
        <w:rPr>
          <w:b/>
          <w:bCs/>
          <w:sz w:val="24"/>
          <w:szCs w:val="24"/>
        </w:rPr>
        <w:t xml:space="preserve">, </w:t>
      </w:r>
      <w:proofErr w:type="spellStart"/>
      <w:r w:rsidRPr="004C4127">
        <w:rPr>
          <w:b/>
          <w:bCs/>
          <w:sz w:val="24"/>
          <w:szCs w:val="24"/>
        </w:rPr>
        <w:t>замовник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прийняв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C4127">
        <w:rPr>
          <w:b/>
          <w:bCs/>
          <w:sz w:val="24"/>
          <w:szCs w:val="24"/>
        </w:rPr>
        <w:t>р</w:t>
      </w:r>
      <w:proofErr w:type="gramEnd"/>
      <w:r w:rsidRPr="004C4127">
        <w:rPr>
          <w:b/>
          <w:bCs/>
          <w:sz w:val="24"/>
          <w:szCs w:val="24"/>
        </w:rPr>
        <w:t>ішення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стосовно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застосування</w:t>
      </w:r>
      <w:proofErr w:type="spellEnd"/>
      <w:r w:rsidRPr="004C4127">
        <w:rPr>
          <w:b/>
          <w:bCs/>
          <w:sz w:val="24"/>
          <w:szCs w:val="24"/>
        </w:rPr>
        <w:t xml:space="preserve"> таких </w:t>
      </w:r>
      <w:proofErr w:type="spellStart"/>
      <w:r w:rsidRPr="004C4127">
        <w:rPr>
          <w:b/>
          <w:bCs/>
          <w:sz w:val="24"/>
          <w:szCs w:val="24"/>
        </w:rPr>
        <w:t>технічних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якісних</w:t>
      </w:r>
      <w:proofErr w:type="spellEnd"/>
      <w:r w:rsidRPr="004C4127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4C4127">
        <w:rPr>
          <w:b/>
          <w:bCs/>
          <w:sz w:val="24"/>
          <w:szCs w:val="24"/>
        </w:rPr>
        <w:t>закупівлі</w:t>
      </w:r>
      <w:proofErr w:type="spellEnd"/>
      <w:r w:rsidRPr="004C4127">
        <w:rPr>
          <w:b/>
          <w:bCs/>
          <w:sz w:val="24"/>
          <w:szCs w:val="24"/>
        </w:rPr>
        <w:t>:</w:t>
      </w:r>
    </w:p>
    <w:p w14:paraId="20BAE230" w14:textId="77777777" w:rsidR="00D01BD8" w:rsidRDefault="00D01BD8" w:rsidP="00D01BD8">
      <w:pPr>
        <w:rPr>
          <w:rFonts w:eastAsia="Times New Roman" w:cs="Times New Roman"/>
          <w:sz w:val="24"/>
          <w:szCs w:val="24"/>
        </w:rPr>
      </w:pPr>
    </w:p>
    <w:p w14:paraId="3C84129F" w14:textId="77777777" w:rsidR="00D01BD8" w:rsidRPr="00387FCD" w:rsidRDefault="00D01BD8" w:rsidP="00D01BD8">
      <w:pPr>
        <w:spacing w:after="0"/>
        <w:ind w:left="284" w:right="14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</w:t>
      </w:r>
      <w:proofErr w:type="spellStart"/>
      <w:proofErr w:type="gramStart"/>
      <w:r w:rsidRPr="00387FCD">
        <w:rPr>
          <w:rFonts w:cs="Times New Roman"/>
          <w:b/>
          <w:bCs/>
          <w:sz w:val="24"/>
          <w:szCs w:val="24"/>
        </w:rPr>
        <w:t>Техн</w:t>
      </w:r>
      <w:proofErr w:type="gramEnd"/>
      <w:r w:rsidRPr="00387FCD">
        <w:rPr>
          <w:rFonts w:cs="Times New Roman"/>
          <w:b/>
          <w:bCs/>
          <w:sz w:val="24"/>
          <w:szCs w:val="24"/>
        </w:rPr>
        <w:t>ічні</w:t>
      </w:r>
      <w:proofErr w:type="spellEnd"/>
      <w:r w:rsidRPr="00387FCD">
        <w:rPr>
          <w:rFonts w:cs="Times New Roman"/>
          <w:b/>
          <w:bCs/>
          <w:sz w:val="24"/>
          <w:szCs w:val="24"/>
        </w:rPr>
        <w:t xml:space="preserve"> та </w:t>
      </w:r>
      <w:proofErr w:type="spellStart"/>
      <w:r w:rsidRPr="00387FCD">
        <w:rPr>
          <w:rFonts w:cs="Times New Roman"/>
          <w:b/>
          <w:bCs/>
          <w:sz w:val="24"/>
          <w:szCs w:val="24"/>
        </w:rPr>
        <w:t>якісні</w:t>
      </w:r>
      <w:proofErr w:type="spellEnd"/>
      <w:r w:rsidRPr="00387FCD">
        <w:rPr>
          <w:rFonts w:cs="Times New Roman"/>
          <w:b/>
          <w:bCs/>
          <w:sz w:val="24"/>
          <w:szCs w:val="24"/>
        </w:rPr>
        <w:t xml:space="preserve"> характеристики до предмету </w:t>
      </w:r>
      <w:proofErr w:type="spellStart"/>
      <w:r w:rsidRPr="00387FCD">
        <w:rPr>
          <w:rFonts w:cs="Times New Roman"/>
          <w:b/>
          <w:bCs/>
          <w:sz w:val="24"/>
          <w:szCs w:val="24"/>
        </w:rPr>
        <w:t>закупівлі</w:t>
      </w:r>
      <w:proofErr w:type="spellEnd"/>
    </w:p>
    <w:p w14:paraId="31CB26AB" w14:textId="77777777" w:rsidR="00D01BD8" w:rsidRPr="008629BD" w:rsidRDefault="00D01BD8" w:rsidP="00D01BD8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ДК 021:2015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–</w:t>
      </w:r>
      <w:r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39160000</w:t>
      </w:r>
      <w:r w:rsidRPr="008629BD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Шкільні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меблі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Столи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учнівські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eastAsia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>ільці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учнівські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</w:p>
    <w:p w14:paraId="2DB875B9" w14:textId="18E9DCC4" w:rsidR="00D01BD8" w:rsidRDefault="00D01BD8" w:rsidP="00D01BD8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2"/>
        <w:gridCol w:w="5208"/>
      </w:tblGrid>
      <w:tr w:rsidR="00D01BD8" w14:paraId="35891E80" w14:textId="77777777" w:rsidTr="0066242A">
        <w:tc>
          <w:tcPr>
            <w:tcW w:w="4416" w:type="dxa"/>
            <w:vMerge w:val="restart"/>
          </w:tcPr>
          <w:p w14:paraId="1888F361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proofErr w:type="spellStart"/>
            <w:proofErr w:type="gram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ільці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парти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(комплект)</w:t>
            </w:r>
          </w:p>
          <w:p w14:paraId="58ED9A6B" w14:textId="77777777" w:rsidR="00D01BD8" w:rsidRPr="00B90E2E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center"/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8E058" wp14:editId="44C38202">
                  <wp:extent cx="2034540" cy="2034540"/>
                  <wp:effectExtent l="0" t="0" r="3810" b="381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9CDF8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center"/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5F7240" wp14:editId="37AECDD4">
                  <wp:extent cx="2453640" cy="2453640"/>
                  <wp:effectExtent l="0" t="0" r="3810" b="381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F676D" w14:textId="77777777" w:rsidR="00D01BD8" w:rsidRPr="00B90E2E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center"/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1B09EB" wp14:editId="50585649">
                  <wp:extent cx="2225040" cy="2225040"/>
                  <wp:effectExtent l="0" t="0" r="3810" b="3810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</w:tcPr>
          <w:p w14:paraId="2CDFB39D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lastRenderedPageBreak/>
              <w:t>Ст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учнівський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призначений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для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обладнання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учбових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приміщень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навчальних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закладів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відповідає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:</w:t>
            </w:r>
          </w:p>
          <w:p w14:paraId="1CFA60E9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- стандартам ДСТУ ГОСТ 22046:2004;</w:t>
            </w:r>
          </w:p>
          <w:p w14:paraId="4C647A13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- стандартам ДСТУ 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val="en-US" w:eastAsia="ar-SA" w:bidi="en-US"/>
              </w:rPr>
              <w:t>EN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1729-2:2004</w:t>
            </w:r>
          </w:p>
          <w:p w14:paraId="45AC03EB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та ТУ,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що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вимагає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Закон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України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«Про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безпечність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нехарчової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продукції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» </w:t>
            </w:r>
          </w:p>
          <w:p w14:paraId="731F201D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proofErr w:type="spellStart"/>
            <w:proofErr w:type="gram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учнівський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одномісний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полицею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з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регулюванням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висоти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</w:t>
            </w:r>
            <w:proofErr w:type="spellStart"/>
            <w:r w:rsidRPr="008923C6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ростова</w:t>
            </w:r>
            <w:proofErr w:type="spellEnd"/>
            <w:r w:rsidRPr="008923C6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8923C6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група</w:t>
            </w:r>
            <w:proofErr w:type="spellEnd"/>
            <w:r w:rsidRPr="008923C6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: 4-6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стіл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складається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деревинних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металевих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частин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Габаритні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розміри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: </w:t>
            </w:r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600х575х580-760мм з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кроком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регулювання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висоти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60 мм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ільниця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містить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виріз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 боку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ергономічної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форми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отвір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для стакану, пенал для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канцелярського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приладдя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може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регулюватися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по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повинно бути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кута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нахилу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lastRenderedPageBreak/>
              <w:t>стільниці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від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7ᵒ до 16</w:t>
            </w:r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ᵒ, та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горизонтальне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положення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стільниці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кути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стільниці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повинні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бути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зашліфовані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або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заовалені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val="en-US" w:eastAsia="ar-SA" w:bidi="en-US"/>
              </w:rPr>
              <w:t>R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=10-30 мм.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Металеві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частини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виробу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являють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собою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каркасну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основу. Каркас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виготовлений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сталевої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квадратної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труби 20*20 та 25*25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товщиною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менше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1,2 мм</w:t>
            </w:r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.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Фарбування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здійснене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порошковою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полімерною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фарбою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стійкою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до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подряпин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столу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здійснюється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допомогою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гвинтів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На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торцях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каркасу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закріплені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платикові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заглушки,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які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запобігають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травмуванню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учнів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пошкодженню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ідлоги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На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боковій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частині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каркасу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закріплений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міцний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гачок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.</w:t>
            </w:r>
          </w:p>
          <w:p w14:paraId="0C1FFF42" w14:textId="77777777" w:rsidR="00D01BD8" w:rsidRPr="00D70049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</w:p>
          <w:p w14:paraId="4290513B" w14:textId="77777777" w:rsidR="00D01BD8" w:rsidRPr="00B90E2E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</w:p>
        </w:tc>
      </w:tr>
      <w:tr w:rsidR="00D01BD8" w14:paraId="1016B5F5" w14:textId="77777777" w:rsidTr="0066242A">
        <w:tc>
          <w:tcPr>
            <w:tcW w:w="4416" w:type="dxa"/>
            <w:vMerge/>
          </w:tcPr>
          <w:p w14:paraId="6863D4B6" w14:textId="77777777" w:rsidR="00D01BD8" w:rsidRPr="00642701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center"/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</w:p>
        </w:tc>
        <w:tc>
          <w:tcPr>
            <w:tcW w:w="5865" w:type="dxa"/>
          </w:tcPr>
          <w:p w14:paraId="58E43D81" w14:textId="77777777" w:rsidR="00D01BD8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  <w:proofErr w:type="spellStart"/>
            <w:proofErr w:type="gram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ілець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Т-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подібний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регулюємий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по </w:t>
            </w:r>
            <w:proofErr w:type="spellStart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висоті</w:t>
            </w:r>
            <w:proofErr w:type="spellEnd"/>
            <w:r>
              <w:rPr>
                <w:rFonts w:eastAsia="Lucida Sans Unicode" w:cs="Times New Roman"/>
                <w:b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</w:t>
            </w:r>
            <w:proofErr w:type="spellStart"/>
            <w:r w:rsidRPr="00642701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ростова</w:t>
            </w:r>
            <w:proofErr w:type="spellEnd"/>
            <w:r w:rsidRPr="00642701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642701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група</w:t>
            </w:r>
            <w:proofErr w:type="spellEnd"/>
            <w:r w:rsidRPr="00642701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: 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4</w:t>
            </w:r>
            <w:r w:rsidRPr="00642701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-6</w:t>
            </w:r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каркас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виготовлений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сталевої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квадратної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труби 20*20 та 25*25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товщиною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менше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1,2 мм.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Фарбування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здійснене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порошковою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полімерною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фарбою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,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ійкою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до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подряпин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Сидіння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спинка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виготовлені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 </w:t>
            </w:r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гнуто-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кле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єної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фанери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(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товщиною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7-9мм).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Розмі</w:t>
            </w:r>
            <w:proofErr w:type="gram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</w:t>
            </w:r>
            <w:proofErr w:type="spellEnd"/>
            <w:proofErr w:type="gram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сидіння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380*380 мм. Кути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сидіння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і спинки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передня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крайка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сидіння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мають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радіус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заокруглення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для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запобігання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травмування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Спинка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сидіння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до каркасу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кр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іпляться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заклепками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що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унеможливлює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розбирання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стільця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підручними</w:t>
            </w:r>
            <w:proofErr w:type="spellEnd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370C6E"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засобами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.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Регулювання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висоти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proofErr w:type="gram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ст</w:t>
            </w:r>
            <w:proofErr w:type="gram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ільця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здійснюється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допомогою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гвинтів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на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торцях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каркасу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закріплені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пластикові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заглушки,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які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запобігають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травмуванню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учнів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пошкодженню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підлоги</w:t>
            </w:r>
            <w:proofErr w:type="spellEnd"/>
            <w:r>
              <w:rPr>
                <w:rFonts w:eastAsia="Lucida Sans Unicode" w:cs="Times New Roman"/>
                <w:iCs/>
                <w:color w:val="000000"/>
                <w:kern w:val="1"/>
                <w:sz w:val="24"/>
                <w:szCs w:val="24"/>
                <w:lang w:eastAsia="ar-SA" w:bidi="en-US"/>
              </w:rPr>
              <w:t>.</w:t>
            </w:r>
          </w:p>
          <w:p w14:paraId="47187393" w14:textId="77777777" w:rsidR="00D01BD8" w:rsidRPr="00642701" w:rsidRDefault="00D01BD8" w:rsidP="0066242A">
            <w:pPr>
              <w:keepLines/>
              <w:tabs>
                <w:tab w:val="left" w:pos="0"/>
                <w:tab w:val="left" w:pos="142"/>
                <w:tab w:val="left" w:pos="709"/>
                <w:tab w:val="left" w:pos="851"/>
                <w:tab w:val="num" w:pos="993"/>
              </w:tabs>
              <w:jc w:val="both"/>
              <w:rPr>
                <w:rFonts w:eastAsia="Lucida Sans Unicode" w:cs="Times New Roman"/>
                <w:i/>
                <w:iCs/>
                <w:color w:val="000000"/>
                <w:kern w:val="1"/>
                <w:sz w:val="24"/>
                <w:szCs w:val="24"/>
                <w:lang w:eastAsia="ar-SA" w:bidi="en-US"/>
              </w:rPr>
            </w:pPr>
          </w:p>
        </w:tc>
      </w:tr>
    </w:tbl>
    <w:p w14:paraId="524F2C87" w14:textId="77777777" w:rsidR="00D01BD8" w:rsidRDefault="00D01BD8" w:rsidP="00D01BD8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</w:p>
    <w:p w14:paraId="426C1D8C" w14:textId="77777777" w:rsidR="00D01BD8" w:rsidRDefault="00D01BD8" w:rsidP="00D01BD8">
      <w:pPr>
        <w:spacing w:after="0"/>
        <w:jc w:val="both"/>
        <w:rPr>
          <w:rFonts w:cs="Times New Roman"/>
          <w:bCs/>
          <w:sz w:val="24"/>
          <w:szCs w:val="24"/>
        </w:rPr>
      </w:pPr>
      <w:r w:rsidRPr="00E62C27">
        <w:rPr>
          <w:rFonts w:cs="Times New Roman"/>
          <w:bCs/>
          <w:szCs w:val="28"/>
        </w:rPr>
        <w:t>1.</w:t>
      </w:r>
      <w:r>
        <w:rPr>
          <w:rFonts w:cs="Times New Roman"/>
          <w:bCs/>
          <w:sz w:val="24"/>
          <w:szCs w:val="24"/>
        </w:rPr>
        <w:t xml:space="preserve">Усі </w:t>
      </w:r>
      <w:proofErr w:type="spellStart"/>
      <w:r>
        <w:rPr>
          <w:rFonts w:cs="Times New Roman"/>
          <w:bCs/>
          <w:sz w:val="24"/>
          <w:szCs w:val="24"/>
        </w:rPr>
        <w:t>витрати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пов’язан</w:t>
      </w:r>
      <w:proofErr w:type="gramEnd"/>
      <w:r>
        <w:rPr>
          <w:rFonts w:cs="Times New Roman"/>
          <w:bCs/>
          <w:sz w:val="24"/>
          <w:szCs w:val="24"/>
        </w:rPr>
        <w:t>і</w:t>
      </w:r>
      <w:proofErr w:type="spellEnd"/>
      <w:r>
        <w:rPr>
          <w:rFonts w:cs="Times New Roman"/>
          <w:bCs/>
          <w:sz w:val="24"/>
          <w:szCs w:val="24"/>
        </w:rPr>
        <w:t xml:space="preserve"> з </w:t>
      </w:r>
      <w:proofErr w:type="spellStart"/>
      <w:r>
        <w:rPr>
          <w:rFonts w:cs="Times New Roman"/>
          <w:bCs/>
          <w:sz w:val="24"/>
          <w:szCs w:val="24"/>
        </w:rPr>
        <w:t>усуненням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недоліків</w:t>
      </w:r>
      <w:proofErr w:type="spellEnd"/>
      <w:r>
        <w:rPr>
          <w:rFonts w:cs="Times New Roman"/>
          <w:bCs/>
          <w:sz w:val="24"/>
          <w:szCs w:val="24"/>
        </w:rPr>
        <w:t xml:space="preserve"> товару </w:t>
      </w:r>
      <w:proofErr w:type="spellStart"/>
      <w:r>
        <w:rPr>
          <w:rFonts w:cs="Times New Roman"/>
          <w:bCs/>
          <w:sz w:val="24"/>
          <w:szCs w:val="24"/>
        </w:rPr>
        <w:t>неналежної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якості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несе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Продавець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14:paraId="48B649EB" w14:textId="77777777" w:rsidR="00D01BD8" w:rsidRDefault="00D01BD8" w:rsidP="00D01BD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Упаковка, в </w:t>
      </w:r>
      <w:proofErr w:type="spellStart"/>
      <w:r>
        <w:rPr>
          <w:rFonts w:cs="Times New Roman"/>
          <w:bCs/>
          <w:sz w:val="24"/>
          <w:szCs w:val="24"/>
        </w:rPr>
        <w:t>якій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відвантажується</w:t>
      </w:r>
      <w:proofErr w:type="spellEnd"/>
      <w:r>
        <w:rPr>
          <w:rFonts w:cs="Times New Roman"/>
          <w:bCs/>
          <w:sz w:val="24"/>
          <w:szCs w:val="24"/>
        </w:rPr>
        <w:t xml:space="preserve"> товар, </w:t>
      </w:r>
      <w:proofErr w:type="spellStart"/>
      <w:r>
        <w:rPr>
          <w:rFonts w:cs="Times New Roman"/>
          <w:bCs/>
          <w:sz w:val="24"/>
          <w:szCs w:val="24"/>
        </w:rPr>
        <w:t>має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відповідати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встановленим</w:t>
      </w:r>
      <w:proofErr w:type="spellEnd"/>
      <w:r>
        <w:rPr>
          <w:rFonts w:cs="Times New Roman"/>
          <w:bCs/>
          <w:sz w:val="24"/>
          <w:szCs w:val="24"/>
        </w:rPr>
        <w:t xml:space="preserve"> стандартам </w:t>
      </w:r>
      <w:proofErr w:type="spellStart"/>
      <w:r>
        <w:rPr>
          <w:rFonts w:cs="Times New Roman"/>
          <w:bCs/>
          <w:sz w:val="24"/>
          <w:szCs w:val="24"/>
        </w:rPr>
        <w:t>або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техн</w:t>
      </w:r>
      <w:proofErr w:type="gramEnd"/>
      <w:r>
        <w:rPr>
          <w:rFonts w:cs="Times New Roman"/>
          <w:bCs/>
          <w:sz w:val="24"/>
          <w:szCs w:val="24"/>
        </w:rPr>
        <w:t>ічним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умовам</w:t>
      </w:r>
      <w:proofErr w:type="spellEnd"/>
      <w:r>
        <w:rPr>
          <w:rFonts w:cs="Times New Roman"/>
          <w:bCs/>
          <w:sz w:val="24"/>
          <w:szCs w:val="24"/>
        </w:rPr>
        <w:t xml:space="preserve"> і </w:t>
      </w:r>
      <w:proofErr w:type="spellStart"/>
      <w:r>
        <w:rPr>
          <w:rFonts w:cs="Times New Roman"/>
          <w:bCs/>
          <w:sz w:val="24"/>
          <w:szCs w:val="24"/>
        </w:rPr>
        <w:t>забезпечувати</w:t>
      </w:r>
      <w:proofErr w:type="spellEnd"/>
      <w:r>
        <w:rPr>
          <w:rFonts w:cs="Times New Roman"/>
          <w:bCs/>
          <w:sz w:val="24"/>
          <w:szCs w:val="24"/>
        </w:rPr>
        <w:t xml:space="preserve">, при </w:t>
      </w:r>
      <w:proofErr w:type="spellStart"/>
      <w:r>
        <w:rPr>
          <w:rFonts w:cs="Times New Roman"/>
          <w:bCs/>
          <w:sz w:val="24"/>
          <w:szCs w:val="24"/>
        </w:rPr>
        <w:t>належному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поводженні</w:t>
      </w:r>
      <w:proofErr w:type="spellEnd"/>
      <w:r>
        <w:rPr>
          <w:rFonts w:cs="Times New Roman"/>
          <w:bCs/>
          <w:sz w:val="24"/>
          <w:szCs w:val="24"/>
        </w:rPr>
        <w:t xml:space="preserve"> з </w:t>
      </w:r>
      <w:proofErr w:type="spellStart"/>
      <w:r>
        <w:rPr>
          <w:rFonts w:cs="Times New Roman"/>
          <w:bCs/>
          <w:sz w:val="24"/>
          <w:szCs w:val="24"/>
        </w:rPr>
        <w:t>вантажем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зберігання</w:t>
      </w:r>
      <w:proofErr w:type="spellEnd"/>
      <w:r>
        <w:rPr>
          <w:rFonts w:cs="Times New Roman"/>
          <w:bCs/>
          <w:sz w:val="24"/>
          <w:szCs w:val="24"/>
        </w:rPr>
        <w:t xml:space="preserve"> товару </w:t>
      </w:r>
      <w:proofErr w:type="spellStart"/>
      <w:r>
        <w:rPr>
          <w:rFonts w:cs="Times New Roman"/>
          <w:bCs/>
          <w:sz w:val="24"/>
          <w:szCs w:val="24"/>
        </w:rPr>
        <w:t>під</w:t>
      </w:r>
      <w:proofErr w:type="spellEnd"/>
      <w:r>
        <w:rPr>
          <w:rFonts w:cs="Times New Roman"/>
          <w:bCs/>
          <w:sz w:val="24"/>
          <w:szCs w:val="24"/>
        </w:rPr>
        <w:t xml:space="preserve"> час </w:t>
      </w:r>
      <w:proofErr w:type="spellStart"/>
      <w:r>
        <w:rPr>
          <w:rFonts w:cs="Times New Roman"/>
          <w:bCs/>
          <w:sz w:val="24"/>
          <w:szCs w:val="24"/>
        </w:rPr>
        <w:t>транспортування</w:t>
      </w:r>
      <w:proofErr w:type="spellEnd"/>
      <w:r>
        <w:rPr>
          <w:rFonts w:cs="Times New Roman"/>
          <w:bCs/>
          <w:sz w:val="24"/>
          <w:szCs w:val="24"/>
        </w:rPr>
        <w:t xml:space="preserve"> та </w:t>
      </w:r>
      <w:proofErr w:type="spellStart"/>
      <w:r>
        <w:rPr>
          <w:rFonts w:cs="Times New Roman"/>
          <w:bCs/>
          <w:sz w:val="24"/>
          <w:szCs w:val="24"/>
        </w:rPr>
        <w:t>збереження</w:t>
      </w:r>
      <w:proofErr w:type="spellEnd"/>
      <w:r>
        <w:rPr>
          <w:rFonts w:cs="Times New Roman"/>
          <w:bCs/>
          <w:sz w:val="24"/>
          <w:szCs w:val="24"/>
        </w:rPr>
        <w:t xml:space="preserve"> товару до початку </w:t>
      </w:r>
      <w:proofErr w:type="spellStart"/>
      <w:r>
        <w:rPr>
          <w:rFonts w:cs="Times New Roman"/>
          <w:bCs/>
          <w:sz w:val="24"/>
          <w:szCs w:val="24"/>
        </w:rPr>
        <w:t>його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складання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14:paraId="143E8FD8" w14:textId="77777777" w:rsidR="00D01BD8" w:rsidRDefault="00D01BD8" w:rsidP="00D01BD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3.Учасник </w:t>
      </w:r>
      <w:proofErr w:type="spellStart"/>
      <w:r>
        <w:rPr>
          <w:rFonts w:cs="Times New Roman"/>
          <w:bCs/>
          <w:sz w:val="24"/>
          <w:szCs w:val="24"/>
        </w:rPr>
        <w:t>гаранту</w:t>
      </w:r>
      <w:proofErr w:type="gramStart"/>
      <w:r>
        <w:rPr>
          <w:rFonts w:cs="Times New Roman"/>
          <w:bCs/>
          <w:sz w:val="24"/>
          <w:szCs w:val="24"/>
        </w:rPr>
        <w:t>є</w:t>
      </w:r>
      <w:proofErr w:type="spellEnd"/>
      <w:r>
        <w:rPr>
          <w:rFonts w:cs="Times New Roman"/>
          <w:bCs/>
          <w:sz w:val="24"/>
          <w:szCs w:val="24"/>
        </w:rPr>
        <w:t>,</w:t>
      </w:r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що</w:t>
      </w:r>
      <w:proofErr w:type="spellEnd"/>
      <w:r>
        <w:rPr>
          <w:rFonts w:cs="Times New Roman"/>
          <w:bCs/>
          <w:sz w:val="24"/>
          <w:szCs w:val="24"/>
        </w:rPr>
        <w:t xml:space="preserve"> товар є </w:t>
      </w:r>
      <w:proofErr w:type="spellStart"/>
      <w:r>
        <w:rPr>
          <w:rFonts w:cs="Times New Roman"/>
          <w:bCs/>
          <w:sz w:val="24"/>
          <w:szCs w:val="24"/>
        </w:rPr>
        <w:t>новим</w:t>
      </w:r>
      <w:proofErr w:type="spellEnd"/>
      <w:r>
        <w:rPr>
          <w:rFonts w:cs="Times New Roman"/>
          <w:bCs/>
          <w:sz w:val="24"/>
          <w:szCs w:val="24"/>
        </w:rPr>
        <w:t xml:space="preserve">, не </w:t>
      </w:r>
      <w:proofErr w:type="spellStart"/>
      <w:r>
        <w:rPr>
          <w:rFonts w:cs="Times New Roman"/>
          <w:bCs/>
          <w:sz w:val="24"/>
          <w:szCs w:val="24"/>
        </w:rPr>
        <w:t>перебував</w:t>
      </w:r>
      <w:proofErr w:type="spellEnd"/>
      <w:r>
        <w:rPr>
          <w:rFonts w:cs="Times New Roman"/>
          <w:bCs/>
          <w:sz w:val="24"/>
          <w:szCs w:val="24"/>
        </w:rPr>
        <w:t xml:space="preserve"> в </w:t>
      </w:r>
      <w:proofErr w:type="spellStart"/>
      <w:r>
        <w:rPr>
          <w:rFonts w:cs="Times New Roman"/>
          <w:bCs/>
          <w:sz w:val="24"/>
          <w:szCs w:val="24"/>
        </w:rPr>
        <w:t>експлуатації</w:t>
      </w:r>
      <w:proofErr w:type="spellEnd"/>
      <w:r>
        <w:rPr>
          <w:rFonts w:cs="Times New Roman"/>
          <w:bCs/>
          <w:sz w:val="24"/>
          <w:szCs w:val="24"/>
        </w:rPr>
        <w:t xml:space="preserve">, не </w:t>
      </w:r>
      <w:proofErr w:type="spellStart"/>
      <w:r>
        <w:rPr>
          <w:rFonts w:cs="Times New Roman"/>
          <w:bCs/>
          <w:sz w:val="24"/>
          <w:szCs w:val="24"/>
        </w:rPr>
        <w:t>перебуває</w:t>
      </w:r>
      <w:proofErr w:type="spellEnd"/>
      <w:r>
        <w:rPr>
          <w:rFonts w:cs="Times New Roman"/>
          <w:bCs/>
          <w:sz w:val="24"/>
          <w:szCs w:val="24"/>
        </w:rPr>
        <w:t xml:space="preserve"> в </w:t>
      </w:r>
      <w:proofErr w:type="spellStart"/>
      <w:r>
        <w:rPr>
          <w:rFonts w:cs="Times New Roman"/>
          <w:bCs/>
          <w:sz w:val="24"/>
          <w:szCs w:val="24"/>
        </w:rPr>
        <w:t>заставі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або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під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арештом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вільний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від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претензії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третіх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осіб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14:paraId="3F211248" w14:textId="77777777" w:rsidR="00D01BD8" w:rsidRPr="00E62C27" w:rsidRDefault="00D01BD8" w:rsidP="00D01BD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4.Транспортні </w:t>
      </w:r>
      <w:proofErr w:type="spellStart"/>
      <w:r>
        <w:rPr>
          <w:rFonts w:cs="Times New Roman"/>
          <w:bCs/>
          <w:sz w:val="24"/>
          <w:szCs w:val="24"/>
        </w:rPr>
        <w:t>витрати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вантажно-розвантажувальні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послуги</w:t>
      </w:r>
      <w:proofErr w:type="spellEnd"/>
      <w:r>
        <w:rPr>
          <w:rFonts w:cs="Times New Roman"/>
          <w:bCs/>
          <w:sz w:val="24"/>
          <w:szCs w:val="24"/>
        </w:rPr>
        <w:t xml:space="preserve"> та </w:t>
      </w:r>
      <w:proofErr w:type="spellStart"/>
      <w:r>
        <w:rPr>
          <w:rFonts w:cs="Times New Roman"/>
          <w:bCs/>
          <w:sz w:val="24"/>
          <w:szCs w:val="24"/>
        </w:rPr>
        <w:t>монтажні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роботи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здійснюються</w:t>
      </w:r>
      <w:proofErr w:type="spellEnd"/>
      <w:r>
        <w:rPr>
          <w:rFonts w:cs="Times New Roman"/>
          <w:bCs/>
          <w:sz w:val="24"/>
          <w:szCs w:val="24"/>
        </w:rPr>
        <w:t xml:space="preserve"> за </w:t>
      </w:r>
      <w:proofErr w:type="spellStart"/>
      <w:r>
        <w:rPr>
          <w:rFonts w:cs="Times New Roman"/>
          <w:bCs/>
          <w:sz w:val="24"/>
          <w:szCs w:val="24"/>
        </w:rPr>
        <w:t>рахунок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постачальника</w:t>
      </w:r>
      <w:proofErr w:type="spellEnd"/>
      <w:r>
        <w:rPr>
          <w:rFonts w:cs="Times New Roman"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Вказані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послуги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окремо</w:t>
      </w:r>
      <w:proofErr w:type="spellEnd"/>
      <w:r>
        <w:rPr>
          <w:rFonts w:cs="Times New Roman"/>
          <w:bCs/>
          <w:sz w:val="24"/>
          <w:szCs w:val="24"/>
        </w:rPr>
        <w:t xml:space="preserve"> не </w:t>
      </w:r>
      <w:proofErr w:type="spellStart"/>
      <w:r>
        <w:rPr>
          <w:rFonts w:cs="Times New Roman"/>
          <w:bCs/>
          <w:sz w:val="24"/>
          <w:szCs w:val="24"/>
        </w:rPr>
        <w:t>сплачуються</w:t>
      </w:r>
      <w:proofErr w:type="spellEnd"/>
      <w:r>
        <w:rPr>
          <w:rFonts w:cs="Times New Roman"/>
          <w:bCs/>
          <w:sz w:val="24"/>
          <w:szCs w:val="24"/>
        </w:rPr>
        <w:t xml:space="preserve"> та </w:t>
      </w:r>
      <w:proofErr w:type="spellStart"/>
      <w:r>
        <w:rPr>
          <w:rFonts w:cs="Times New Roman"/>
          <w:bCs/>
          <w:sz w:val="24"/>
          <w:szCs w:val="24"/>
        </w:rPr>
        <w:t>включаються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учасником</w:t>
      </w:r>
      <w:proofErr w:type="spellEnd"/>
      <w:r>
        <w:rPr>
          <w:rFonts w:cs="Times New Roman"/>
          <w:bCs/>
          <w:sz w:val="24"/>
          <w:szCs w:val="24"/>
        </w:rPr>
        <w:t xml:space="preserve"> до </w:t>
      </w:r>
      <w:proofErr w:type="spellStart"/>
      <w:r>
        <w:rPr>
          <w:rFonts w:cs="Times New Roman"/>
          <w:bCs/>
          <w:sz w:val="24"/>
          <w:szCs w:val="24"/>
        </w:rPr>
        <w:t>загальної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вартості</w:t>
      </w:r>
      <w:proofErr w:type="spellEnd"/>
      <w:r>
        <w:rPr>
          <w:rFonts w:cs="Times New Roman"/>
          <w:bCs/>
          <w:sz w:val="24"/>
          <w:szCs w:val="24"/>
        </w:rPr>
        <w:t xml:space="preserve"> товару.  </w:t>
      </w:r>
    </w:p>
    <w:p w14:paraId="72C73290" w14:textId="77777777" w:rsidR="00D01BD8" w:rsidRDefault="00D01BD8" w:rsidP="00D01BD8">
      <w:pPr>
        <w:pStyle w:val="1"/>
        <w:jc w:val="center"/>
        <w:rPr>
          <w:b/>
          <w:bCs/>
          <w:i/>
          <w:u w:val="single"/>
          <w:lang w:eastAsia="zh-CN"/>
        </w:rPr>
      </w:pPr>
      <w:r w:rsidRPr="00AD426F">
        <w:rPr>
          <w:b/>
          <w:bCs/>
          <w:i/>
          <w:u w:val="single"/>
          <w:lang w:eastAsia="zh-CN"/>
        </w:rPr>
        <w:t xml:space="preserve">Учасник повинен надати в електронному вигляді (сканованому в форматі </w:t>
      </w:r>
      <w:proofErr w:type="spellStart"/>
      <w:r w:rsidRPr="00AD426F">
        <w:rPr>
          <w:b/>
          <w:bCs/>
          <w:i/>
          <w:u w:val="single"/>
          <w:lang w:eastAsia="zh-CN"/>
        </w:rPr>
        <w:t>pdf</w:t>
      </w:r>
      <w:proofErr w:type="spellEnd"/>
      <w:r w:rsidRPr="00AD426F">
        <w:rPr>
          <w:b/>
          <w:bCs/>
          <w:i/>
          <w:u w:val="single"/>
          <w:lang w:eastAsia="zh-CN"/>
        </w:rPr>
        <w:t>) в складі своєї пропозиції наступні документи:</w:t>
      </w:r>
    </w:p>
    <w:p w14:paraId="5EEBB96B" w14:textId="77777777" w:rsidR="00D01BD8" w:rsidRDefault="00D01BD8" w:rsidP="00D01BD8">
      <w:pPr>
        <w:pStyle w:val="docdata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AD0A88">
        <w:rPr>
          <w:b/>
          <w:bCs/>
          <w:lang w:val="uk-UA" w:eastAsia="zh-CN"/>
        </w:rPr>
        <w:t>1.</w:t>
      </w:r>
      <w:r w:rsidRPr="00AD0A88">
        <w:rPr>
          <w:bCs/>
          <w:lang w:val="uk-UA" w:eastAsia="zh-CN"/>
        </w:rPr>
        <w:t>Повна копія висновку державної санітарно-епідеміологічної експертизи на відповідність меблів вимогам діючого санітарного законодавства та копія додатку до цього висновку на відповідність меблів для закладів освіти, що постачаються, вимогам діючого санітарного законодавства діючим  в Україні державним нормам та стандартам зокрема ДСТУ ГОСТ 22046:2004.</w:t>
      </w:r>
      <w:r w:rsidRPr="00AD0A88">
        <w:rPr>
          <w:b/>
          <w:bCs/>
          <w:color w:val="000000"/>
          <w:lang w:val="uk-UA"/>
        </w:rPr>
        <w:t xml:space="preserve"> </w:t>
      </w:r>
    </w:p>
    <w:p w14:paraId="1435287F" w14:textId="77777777" w:rsidR="00D01BD8" w:rsidRPr="00D01BD8" w:rsidRDefault="00D01BD8" w:rsidP="00D01BD8">
      <w:pPr>
        <w:pStyle w:val="docdata"/>
        <w:spacing w:before="0" w:beforeAutospacing="0" w:after="0" w:afterAutospacing="0"/>
        <w:jc w:val="both"/>
        <w:rPr>
          <w:bCs/>
          <w:lang w:val="uk-UA" w:eastAsia="zh-CN"/>
        </w:rPr>
      </w:pPr>
      <w:r w:rsidRPr="00AD0A88">
        <w:rPr>
          <w:b/>
          <w:bCs/>
          <w:color w:val="000000"/>
          <w:lang w:val="uk-UA"/>
        </w:rPr>
        <w:lastRenderedPageBreak/>
        <w:t>2.</w:t>
      </w:r>
      <w:r w:rsidRPr="00AD0A88">
        <w:rPr>
          <w:color w:val="000000"/>
          <w:lang w:val="uk-UA"/>
        </w:rPr>
        <w:t>Повна копія сертифікату відповідності, що виданий органом з сертифікації, яким підтверджується відповідність Товару, що пропонується учасником, діючим в Україні державним нормам та стандартам, зокрема ДСТУ ГОСТ 22046:2004.</w:t>
      </w:r>
      <w:r>
        <w:rPr>
          <w:color w:val="000000"/>
        </w:rPr>
        <w:t> </w:t>
      </w:r>
    </w:p>
    <w:p w14:paraId="565F55D2" w14:textId="77777777" w:rsidR="00D01BD8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3</w:t>
      </w:r>
      <w:r w:rsidRPr="004900AD">
        <w:rPr>
          <w:b/>
          <w:bCs/>
          <w:lang w:eastAsia="zh-CN"/>
        </w:rPr>
        <w:t>.</w:t>
      </w:r>
      <w:r>
        <w:rPr>
          <w:bCs/>
          <w:lang w:eastAsia="zh-CN"/>
        </w:rPr>
        <w:t>Копію гігієнічного висновку державної санітарно-гігієнічної експертизи на відповідність матеріалів (ДСП, фурнітура, труба, крайки, клеї, фарба, лак, тощо), з яких виготовляються меблі, вимогам діючого санітарного законодавства.</w:t>
      </w:r>
    </w:p>
    <w:p w14:paraId="226C3048" w14:textId="77777777" w:rsidR="00D01BD8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4</w:t>
      </w:r>
      <w:r w:rsidRPr="004900AD">
        <w:rPr>
          <w:b/>
          <w:bCs/>
          <w:lang w:eastAsia="zh-CN"/>
        </w:rPr>
        <w:t>.</w:t>
      </w:r>
      <w:r>
        <w:rPr>
          <w:bCs/>
          <w:lang w:eastAsia="zh-CN"/>
        </w:rPr>
        <w:t xml:space="preserve">Повна копія звіту санітарно-гігієнічної оцінки результатів лабораторних досліджень проб, виданого акредитованою НААУ лабораторією на відповідність меблів безпеці для здоров’я людини, а саме вимогам </w:t>
      </w:r>
      <w:proofErr w:type="spellStart"/>
      <w:r>
        <w:rPr>
          <w:bCs/>
          <w:lang w:eastAsia="zh-CN"/>
        </w:rPr>
        <w:t>ДСаНПіН</w:t>
      </w:r>
      <w:proofErr w:type="spellEnd"/>
      <w:r>
        <w:rPr>
          <w:bCs/>
          <w:lang w:eastAsia="zh-CN"/>
        </w:rPr>
        <w:t xml:space="preserve"> «Полімерні та </w:t>
      </w:r>
      <w:proofErr w:type="spellStart"/>
      <w:r>
        <w:rPr>
          <w:bCs/>
          <w:lang w:eastAsia="zh-CN"/>
        </w:rPr>
        <w:t>полімервмістні</w:t>
      </w:r>
      <w:proofErr w:type="spellEnd"/>
      <w:r>
        <w:rPr>
          <w:bCs/>
          <w:lang w:eastAsia="zh-CN"/>
        </w:rPr>
        <w:t xml:space="preserve"> матеріали, вироби і конструкції, що застосовуються у будівництві та виробництві меблів. Гігієнічні вимоги.» затверджені наказом МОЗ України від 29.12.2012 р. №1139. </w:t>
      </w:r>
    </w:p>
    <w:p w14:paraId="2B850F93" w14:textId="77777777" w:rsidR="00D01BD8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5</w:t>
      </w:r>
      <w:r w:rsidRPr="00700B1A">
        <w:rPr>
          <w:b/>
          <w:bCs/>
          <w:lang w:eastAsia="zh-CN"/>
        </w:rPr>
        <w:t>.</w:t>
      </w:r>
      <w:r>
        <w:rPr>
          <w:bCs/>
          <w:lang w:eastAsia="zh-CN"/>
        </w:rPr>
        <w:t xml:space="preserve">Оригінал або копія дійсного на момент подачі тендерної пропозиції сертифікату на вміст радіоактивних речовин у меблях, виданий сертифікованою радіологічною лабораторією, яка відповідає системі вимірювання вимог ДСТУ </w:t>
      </w:r>
      <w:r>
        <w:rPr>
          <w:bCs/>
          <w:lang w:val="en-US" w:eastAsia="zh-CN"/>
        </w:rPr>
        <w:t>ISO</w:t>
      </w:r>
      <w:r w:rsidRPr="00700B1A">
        <w:rPr>
          <w:bCs/>
          <w:lang w:eastAsia="zh-CN"/>
        </w:rPr>
        <w:t xml:space="preserve"> </w:t>
      </w:r>
      <w:r>
        <w:rPr>
          <w:bCs/>
          <w:lang w:eastAsia="zh-CN"/>
        </w:rPr>
        <w:t>10012 :2005.</w:t>
      </w:r>
    </w:p>
    <w:p w14:paraId="2AB356F1" w14:textId="77777777" w:rsidR="00D01BD8" w:rsidRPr="00601279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6</w:t>
      </w:r>
      <w:r w:rsidRPr="00601279">
        <w:rPr>
          <w:bCs/>
          <w:lang w:eastAsia="zh-CN"/>
        </w:rPr>
        <w:t xml:space="preserve">.Учасник надає копію сертифікату ДСТУ EN ISO 9001:2015 «Система управління якістю. Вимоги» (EN ISO 9001:2015, IDT; ISO 9001:2015, IDT), на систему управління якістю, щодо виробництва меблів, у тому числі на металевому каркасі, для закладів освіти, виданого на учасника, якщо він є виробником, чи на виробника товару, що буде поставлятись у випадку якщо учасник не є виробником передбаченого товару. Сертифікат повинен бути </w:t>
      </w:r>
      <w:proofErr w:type="spellStart"/>
      <w:r w:rsidRPr="00601279">
        <w:rPr>
          <w:bCs/>
          <w:lang w:eastAsia="zh-CN"/>
        </w:rPr>
        <w:t>чинний</w:t>
      </w:r>
      <w:proofErr w:type="spellEnd"/>
      <w:r w:rsidRPr="00601279">
        <w:rPr>
          <w:bCs/>
          <w:lang w:eastAsia="zh-CN"/>
        </w:rPr>
        <w:t xml:space="preserve"> на час дії договору. В сертифікаті обов'язково має бути посвідчено відповідність системи управління якості при виробництві меблів для закладів освіти.</w:t>
      </w:r>
    </w:p>
    <w:p w14:paraId="3D1B1B8A" w14:textId="77777777" w:rsidR="00D01BD8" w:rsidRPr="00601279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7</w:t>
      </w:r>
      <w:r w:rsidRPr="00601279">
        <w:rPr>
          <w:b/>
          <w:bCs/>
          <w:lang w:eastAsia="zh-CN"/>
        </w:rPr>
        <w:t>.</w:t>
      </w:r>
      <w:r w:rsidRPr="00601279">
        <w:rPr>
          <w:bCs/>
          <w:lang w:eastAsia="zh-CN"/>
        </w:rPr>
        <w:t xml:space="preserve"> Учасник надає копію сертифікату ДСТУ ISO 14001:2015 (ISO 14001:2015, IDT) «Системи екологічного управління», в якому зазначається, що системи екологічного керування при виробництві меблів у тому числі на металевому каркасі для закладів освіти відповідають чинним в </w:t>
      </w:r>
      <w:proofErr w:type="spellStart"/>
      <w:r w:rsidRPr="00601279">
        <w:rPr>
          <w:bCs/>
          <w:lang w:eastAsia="zh-CN"/>
        </w:rPr>
        <w:t>Україні</w:t>
      </w:r>
      <w:proofErr w:type="spellEnd"/>
      <w:r w:rsidRPr="00601279">
        <w:rPr>
          <w:bCs/>
          <w:lang w:eastAsia="zh-CN"/>
        </w:rPr>
        <w:t xml:space="preserve"> вимогам. Виданого на учасника, якщо він є виробником, чи на виробника товару, що буде поставляться, у випадку якщо учасник не є виробником передбаченого товару. Сертифікат повинен бути </w:t>
      </w:r>
      <w:proofErr w:type="spellStart"/>
      <w:r w:rsidRPr="00601279">
        <w:rPr>
          <w:bCs/>
          <w:lang w:eastAsia="zh-CN"/>
        </w:rPr>
        <w:t>чинний</w:t>
      </w:r>
      <w:proofErr w:type="spellEnd"/>
      <w:r w:rsidRPr="00601279">
        <w:rPr>
          <w:bCs/>
          <w:lang w:eastAsia="zh-CN"/>
        </w:rPr>
        <w:t xml:space="preserve"> на час дії договору. В сертифікаті обов'язково має бути посвідчено відповідність систем екологічного керування при виробництві меблів саме для закладів освіти.</w:t>
      </w:r>
    </w:p>
    <w:p w14:paraId="53FC5B9E" w14:textId="77777777" w:rsidR="00D01BD8" w:rsidRPr="00601279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8</w:t>
      </w:r>
      <w:r w:rsidRPr="00601279">
        <w:rPr>
          <w:b/>
          <w:bCs/>
          <w:lang w:eastAsia="zh-CN"/>
        </w:rPr>
        <w:t>.</w:t>
      </w:r>
      <w:r w:rsidRPr="00601279">
        <w:rPr>
          <w:bCs/>
          <w:lang w:eastAsia="zh-CN"/>
        </w:rPr>
        <w:t xml:space="preserve"> Учасник надає копію сертифікату відповідності на меблі та всі додатки до нього, виданого на учасника, якщо він є виробником, чи на виробника товару, що буде поставляться, у випадку якщо учасник не є виробником передбаченого товару. Сертифікат повинен бути чинним на строк дії договору та виданий акредитованим органом з сертифікації/оцінки відповідності. Інформація про атестат акредитації органу з сертифікації/оцінки відповідності має бути внесена до Сертифікату відповідності, який подається.</w:t>
      </w:r>
    </w:p>
    <w:p w14:paraId="1353981D" w14:textId="77777777" w:rsidR="00D01BD8" w:rsidRPr="00601279" w:rsidRDefault="00D01BD8" w:rsidP="00D01BD8">
      <w:pPr>
        <w:pStyle w:val="1"/>
        <w:jc w:val="both"/>
        <w:rPr>
          <w:bCs/>
          <w:lang w:eastAsia="zh-CN"/>
        </w:rPr>
      </w:pPr>
      <w:r w:rsidRPr="00601279">
        <w:rPr>
          <w:b/>
          <w:bCs/>
          <w:lang w:eastAsia="zh-CN"/>
        </w:rPr>
        <w:t>9.</w:t>
      </w:r>
      <w:r w:rsidRPr="00601279">
        <w:rPr>
          <w:bCs/>
          <w:lang w:eastAsia="zh-CN"/>
        </w:rPr>
        <w:t xml:space="preserve"> Меблі мають бути виготовлені відповідно до ДСТУ ГОСТ 22046:2004 «Меблі для навчальних закладів»; ДСТУ ГОСТ 16371:2016 «Меблі, загальні технічні умови» У підтвердження учасник надає Висновок державної санітарно-епідеміологічної експертизи, чинний до закінчення дії договору поставки товару, та в якому має бути визначено сферу застосування меблів - оснащення приміщень закладів освіти.</w:t>
      </w:r>
    </w:p>
    <w:p w14:paraId="08FF509A" w14:textId="77777777" w:rsidR="00D01BD8" w:rsidRPr="00601279" w:rsidRDefault="00D01BD8" w:rsidP="00D01BD8">
      <w:pPr>
        <w:pStyle w:val="1"/>
        <w:jc w:val="both"/>
        <w:rPr>
          <w:bCs/>
          <w:lang w:eastAsia="zh-CN"/>
        </w:rPr>
      </w:pPr>
      <w:r>
        <w:rPr>
          <w:b/>
          <w:bCs/>
          <w:lang w:eastAsia="zh-CN"/>
        </w:rPr>
        <w:t>10</w:t>
      </w:r>
      <w:r w:rsidRPr="00601279">
        <w:rPr>
          <w:b/>
          <w:bCs/>
          <w:lang w:eastAsia="zh-CN"/>
        </w:rPr>
        <w:t>.</w:t>
      </w:r>
      <w:r w:rsidRPr="00601279">
        <w:rPr>
          <w:bCs/>
          <w:lang w:eastAsia="zh-CN"/>
        </w:rPr>
        <w:t xml:space="preserve"> Учасник має надати протокол досліджень меблевої ПВХ кромки на вміст радіонуклідів виданий лабораторією радіаційного контролю.</w:t>
      </w:r>
    </w:p>
    <w:p w14:paraId="45C3E309" w14:textId="77777777" w:rsidR="00D01BD8" w:rsidRPr="00700B1A" w:rsidRDefault="00D01BD8" w:rsidP="00D01BD8">
      <w:pPr>
        <w:pStyle w:val="1"/>
        <w:jc w:val="both"/>
        <w:rPr>
          <w:bCs/>
          <w:lang w:eastAsia="zh-CN"/>
        </w:rPr>
      </w:pPr>
      <w:r w:rsidRPr="00601279">
        <w:rPr>
          <w:b/>
          <w:bCs/>
          <w:lang w:eastAsia="zh-CN"/>
        </w:rPr>
        <w:t>1</w:t>
      </w:r>
      <w:r>
        <w:rPr>
          <w:b/>
          <w:bCs/>
          <w:lang w:eastAsia="zh-CN"/>
        </w:rPr>
        <w:t>1</w:t>
      </w:r>
      <w:r w:rsidRPr="00601279">
        <w:rPr>
          <w:b/>
          <w:bCs/>
          <w:lang w:eastAsia="zh-CN"/>
        </w:rPr>
        <w:t>.</w:t>
      </w:r>
      <w:r w:rsidRPr="00601279">
        <w:rPr>
          <w:bCs/>
          <w:lang w:eastAsia="zh-CN"/>
        </w:rPr>
        <w:t xml:space="preserve"> Оригінал або копія дійсного на момент подачі тендерної пропозиції сертифікату на вміст радіоактивних речовин у меблях, виданий сертифікованою радіологічною лабораторією, яка відповідає системі вимірювання вимог ДСТУ ІSO 10012-:2005</w:t>
      </w:r>
      <w:r>
        <w:rPr>
          <w:bCs/>
          <w:lang w:eastAsia="zh-CN"/>
        </w:rPr>
        <w:t>.</w:t>
      </w:r>
    </w:p>
    <w:p w14:paraId="06E9A7DD" w14:textId="77777777" w:rsidR="00D01BD8" w:rsidRDefault="00D01BD8" w:rsidP="00D01BD8">
      <w:pPr>
        <w:pStyle w:val="1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    Документи, отримані Учасником у сторонніх організацій, мають бути дійсними на час проведення закупівлі.</w:t>
      </w:r>
    </w:p>
    <w:p w14:paraId="4CD989B9" w14:textId="77777777" w:rsidR="00D01BD8" w:rsidRPr="00391A9D" w:rsidRDefault="00D01BD8" w:rsidP="00D01BD8">
      <w:pPr>
        <w:pStyle w:val="1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    </w:t>
      </w:r>
    </w:p>
    <w:p w14:paraId="50856023" w14:textId="77777777" w:rsidR="00D01BD8" w:rsidRDefault="00D01BD8" w:rsidP="00D01BD8">
      <w:pPr>
        <w:shd w:val="clear" w:color="auto" w:fill="FFFFFF"/>
        <w:spacing w:after="0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          </w:t>
      </w:r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може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якихось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надати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до умов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цієї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до складу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входять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пояснення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ненадання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посиланням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норми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чинного</w:t>
      </w:r>
      <w:proofErr w:type="gram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законодавства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7C60811" w14:textId="77777777" w:rsidR="00D01BD8" w:rsidRDefault="00D01BD8" w:rsidP="00D01BD8">
      <w:pPr>
        <w:shd w:val="clear" w:color="auto" w:fill="FFFFFF"/>
        <w:spacing w:after="0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330367C" w14:textId="77777777" w:rsidR="00D01BD8" w:rsidRPr="004900AD" w:rsidRDefault="00D01BD8" w:rsidP="00D01BD8">
      <w:pPr>
        <w:shd w:val="clear" w:color="auto" w:fill="FFFFFF"/>
        <w:spacing w:after="0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Примітка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всі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посилання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конкретну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марку,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виробника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фірму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патент,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конструкцію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тип предмета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закупі</w:t>
      </w:r>
      <w:proofErr w:type="gram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вл</w:t>
      </w:r>
      <w:proofErr w:type="gram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і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джерело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походження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виробника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слід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читати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виразом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</w:t>
      </w:r>
      <w:r w:rsidRPr="004900A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</w:t>
      </w:r>
      <w:proofErr w:type="spellStart"/>
      <w:r w:rsidRPr="004900A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або</w:t>
      </w:r>
      <w:proofErr w:type="spellEnd"/>
      <w:r w:rsidRPr="004900A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4900A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еквівалент</w:t>
      </w:r>
      <w:proofErr w:type="spellEnd"/>
      <w:r w:rsidRPr="004900A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»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але не з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гіршими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технічними</w:t>
      </w:r>
      <w:proofErr w:type="spellEnd"/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характеристиками.</w:t>
      </w:r>
    </w:p>
    <w:p w14:paraId="1BA729BC" w14:textId="77777777" w:rsidR="00D01BD8" w:rsidRPr="004900AD" w:rsidRDefault="00D01BD8" w:rsidP="00D01BD8">
      <w:pPr>
        <w:tabs>
          <w:tab w:val="left" w:pos="900"/>
        </w:tabs>
        <w:suppressAutoHyphens/>
        <w:spacing w:after="0"/>
        <w:jc w:val="both"/>
        <w:textAlignment w:val="baseline"/>
        <w:rPr>
          <w:rFonts w:eastAsia="Lucida Sans Unicode" w:cs="Times New Roman"/>
          <w:i/>
          <w:iCs/>
          <w:color w:val="000000"/>
          <w:kern w:val="1"/>
          <w:sz w:val="24"/>
          <w:szCs w:val="24"/>
          <w:u w:val="single"/>
          <w:lang w:eastAsia="ar-SA" w:bidi="en-US"/>
        </w:rPr>
      </w:pPr>
    </w:p>
    <w:p w14:paraId="002EAC09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198A8933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72BE1848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01B6778E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50152FC4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57D66059" w14:textId="77777777" w:rsidR="00C87C40" w:rsidRDefault="00C87C40" w:rsidP="00C87C40">
      <w:pPr>
        <w:tabs>
          <w:tab w:val="left" w:pos="840"/>
        </w:tabs>
        <w:ind w:firstLine="426"/>
        <w:jc w:val="both"/>
        <w:rPr>
          <w:rFonts w:eastAsia="Times New Roman"/>
        </w:rPr>
      </w:pPr>
    </w:p>
    <w:p w14:paraId="0964AE4E" w14:textId="77777777" w:rsidR="00C87C40" w:rsidRPr="00C87C40" w:rsidRDefault="00C87C40" w:rsidP="004C4127">
      <w:pPr>
        <w:spacing w:after="0"/>
        <w:ind w:firstLine="709"/>
        <w:jc w:val="center"/>
        <w:rPr>
          <w:b/>
          <w:bCs/>
        </w:rPr>
      </w:pPr>
    </w:p>
    <w:sectPr w:rsidR="00C87C40" w:rsidRPr="00C87C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0F3B82"/>
    <w:rsid w:val="0012224D"/>
    <w:rsid w:val="001427D6"/>
    <w:rsid w:val="001819F7"/>
    <w:rsid w:val="001F6E3A"/>
    <w:rsid w:val="00220796"/>
    <w:rsid w:val="002E0828"/>
    <w:rsid w:val="003B262E"/>
    <w:rsid w:val="004C4127"/>
    <w:rsid w:val="00674D9C"/>
    <w:rsid w:val="0069036B"/>
    <w:rsid w:val="006C0B77"/>
    <w:rsid w:val="008242FF"/>
    <w:rsid w:val="00870751"/>
    <w:rsid w:val="008B0497"/>
    <w:rsid w:val="00922C48"/>
    <w:rsid w:val="009557E2"/>
    <w:rsid w:val="00B2333A"/>
    <w:rsid w:val="00B5512F"/>
    <w:rsid w:val="00B915B7"/>
    <w:rsid w:val="00B9451D"/>
    <w:rsid w:val="00C661FA"/>
    <w:rsid w:val="00C87C40"/>
    <w:rsid w:val="00D01BD8"/>
    <w:rsid w:val="00E17122"/>
    <w:rsid w:val="00EA59DF"/>
    <w:rsid w:val="00EE4070"/>
    <w:rsid w:val="00EF0640"/>
    <w:rsid w:val="00F12C76"/>
    <w:rsid w:val="00FA7628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661F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Без интервала1"/>
    <w:rsid w:val="00D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2385,baiaagaaboqcaaadywuaaavxbqaaaaaaaaaaaaaaaaaaaaaaaaaaaaaaaaaaaaaaaaaaaaaaaaaaaaaaaaaaaaaaaaaaaaaaaaaaaaaaaaaaaaaaaaaaaaaaaaaaaaaaaaaaaaaaaaaaaaaaaaaaaaaaaaaaaaaaaaaaaaaaaaaaaaaaaaaaaaaaaaaaaaaaaaaaaaaaaaaaaaaaaaaaaaaaaaaaaaaaaaaaaaaa"/>
    <w:basedOn w:val="a"/>
    <w:rsid w:val="00D01B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BD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661F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Без интервала1"/>
    <w:rsid w:val="00D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2385,baiaagaaboqcaaadywuaaavxbqaaaaaaaaaaaaaaaaaaaaaaaaaaaaaaaaaaaaaaaaaaaaaaaaaaaaaaaaaaaaaaaaaaaaaaaaaaaaaaaaaaaaaaaaaaaaaaaaaaaaaaaaaaaaaaaaaaaaaaaaaaaaaaaaaaaaaaaaaaaaaaaaaaaaaaaaaaaaaaaaaaaaaaaaaaaaaaaaaaaaaaaaaaaaaaaaaaaaaaaaaaaaaa"/>
    <w:basedOn w:val="a"/>
    <w:rsid w:val="00D01B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BD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17</cp:revision>
  <dcterms:created xsi:type="dcterms:W3CDTF">2023-04-05T13:10:00Z</dcterms:created>
  <dcterms:modified xsi:type="dcterms:W3CDTF">2023-08-02T06:11:00Z</dcterms:modified>
</cp:coreProperties>
</file>